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C088" w14:textId="77777777" w:rsidR="004C57FC" w:rsidRDefault="004C57FC" w:rsidP="004C57FC">
      <w:pPr>
        <w:jc w:val="center"/>
        <w:rPr>
          <w:rFonts w:ascii="Arial" w:hAnsi="Arial" w:cs="Arial"/>
          <w:sz w:val="28"/>
          <w:szCs w:val="28"/>
        </w:rPr>
      </w:pPr>
      <w:r w:rsidRPr="00D769EF">
        <w:rPr>
          <w:rFonts w:ascii="Arial" w:hAnsi="Arial" w:cs="Arial"/>
          <w:b/>
          <w:sz w:val="28"/>
          <w:szCs w:val="28"/>
          <w:highlight w:val="lightGray"/>
          <w:u w:val="single"/>
        </w:rPr>
        <w:t>Termes de Référence</w:t>
      </w:r>
    </w:p>
    <w:p w14:paraId="5712F4A7" w14:textId="77777777" w:rsidR="004C57FC" w:rsidRPr="00D769EF" w:rsidRDefault="004C57FC" w:rsidP="004C57F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D407CF1" w14:textId="77777777" w:rsidR="004C57FC" w:rsidRPr="00D769EF" w:rsidRDefault="004C57FC" w:rsidP="004C57F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769EF">
        <w:rPr>
          <w:rFonts w:ascii="Arial" w:hAnsi="Arial" w:cs="Arial"/>
          <w:b/>
          <w:bCs/>
          <w:sz w:val="24"/>
          <w:szCs w:val="24"/>
          <w:u w:val="single"/>
        </w:rPr>
        <w:t xml:space="preserve">Contexte </w:t>
      </w:r>
    </w:p>
    <w:p w14:paraId="7E05EDF5" w14:textId="77777777" w:rsidR="004C57FC" w:rsidRPr="004C57FC" w:rsidRDefault="004C57FC" w:rsidP="004C57FC">
      <w:pPr>
        <w:pStyle w:val="Default"/>
        <w:spacing w:after="120" w:line="276" w:lineRule="auto"/>
        <w:jc w:val="both"/>
        <w:rPr>
          <w:color w:val="000000" w:themeColor="text1"/>
          <w:lang w:val="fr-FR"/>
        </w:rPr>
      </w:pPr>
      <w:r w:rsidRPr="004C57FC">
        <w:rPr>
          <w:lang w:val="fr-BE"/>
        </w:rPr>
        <w:t xml:space="preserve">La Croix-Rouge du Burundi possède un vaste réseau de volontaires, véritables acteurs dans la réponse aux urgences au sein de la communauté. </w:t>
      </w:r>
      <w:r w:rsidRPr="004C57FC">
        <w:rPr>
          <w:color w:val="000000" w:themeColor="text1"/>
          <w:lang w:val="fr-FR"/>
        </w:rPr>
        <w:t xml:space="preserve">Depuis plusieurs années, l’aide octroyée par la CRB comme les autres organisations humanitaires était en nature. Pour permettre aux bénéficiaires d’acquérir des vivres et autres matériaux de leur choix, il a été introduit les transferts monétaires. L’aide en argent favorise aussi la rapidité et minimise les coûts logistiques.  </w:t>
      </w:r>
    </w:p>
    <w:p w14:paraId="4486C9FD" w14:textId="77777777" w:rsidR="004C57FC" w:rsidRPr="004C57FC" w:rsidRDefault="004C57FC" w:rsidP="004C57FC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4C57FC">
        <w:rPr>
          <w:rFonts w:ascii="Arial" w:hAnsi="Arial" w:cs="Arial"/>
          <w:sz w:val="24"/>
          <w:szCs w:val="24"/>
          <w:lang w:val="fr-BE"/>
        </w:rPr>
        <w:t xml:space="preserve">L’introduction de la modalité de transfert monétaire comme une réponse en urgence requiert le renforcement des capacités de ces volontaires pour qu’ils soient prêts à intervenir en urgence.  </w:t>
      </w:r>
    </w:p>
    <w:p w14:paraId="339AFF82" w14:textId="3DD77AEB" w:rsidR="004C57FC" w:rsidRPr="004C57FC" w:rsidRDefault="006A57F2" w:rsidP="004C57FC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Cibitoke est l’</w:t>
      </w:r>
      <w:r w:rsidRPr="004C57FC">
        <w:rPr>
          <w:rFonts w:ascii="Arial" w:hAnsi="Arial" w:cs="Arial"/>
          <w:sz w:val="24"/>
          <w:szCs w:val="24"/>
          <w:lang w:val="fr-BE"/>
        </w:rPr>
        <w:t>une</w:t>
      </w:r>
      <w:r w:rsidR="004C57FC" w:rsidRPr="004C57FC">
        <w:rPr>
          <w:rFonts w:ascii="Arial" w:hAnsi="Arial" w:cs="Arial"/>
          <w:sz w:val="24"/>
          <w:szCs w:val="24"/>
          <w:lang w:val="fr-BE"/>
        </w:rPr>
        <w:t xml:space="preserve"> </w:t>
      </w:r>
      <w:r w:rsidRPr="004C57FC">
        <w:rPr>
          <w:rFonts w:ascii="Arial" w:hAnsi="Arial" w:cs="Arial"/>
          <w:sz w:val="24"/>
          <w:szCs w:val="24"/>
          <w:lang w:val="fr-BE"/>
        </w:rPr>
        <w:t xml:space="preserve">des </w:t>
      </w:r>
      <w:r>
        <w:rPr>
          <w:rFonts w:ascii="Arial" w:hAnsi="Arial" w:cs="Arial"/>
          <w:sz w:val="24"/>
          <w:szCs w:val="24"/>
          <w:lang w:val="fr-BE"/>
        </w:rPr>
        <w:t>provinces</w:t>
      </w:r>
      <w:r w:rsidRPr="004C57FC">
        <w:rPr>
          <w:rFonts w:ascii="Arial" w:hAnsi="Arial" w:cs="Arial"/>
          <w:sz w:val="24"/>
          <w:szCs w:val="24"/>
          <w:lang w:val="fr-BE"/>
        </w:rPr>
        <w:t xml:space="preserve"> </w:t>
      </w:r>
      <w:r>
        <w:rPr>
          <w:rFonts w:ascii="Arial" w:hAnsi="Arial" w:cs="Arial"/>
          <w:sz w:val="24"/>
          <w:szCs w:val="24"/>
          <w:lang w:val="fr-BE"/>
        </w:rPr>
        <w:t>ciblées touchée par les glissements de terrain</w:t>
      </w:r>
      <w:r w:rsidR="004C57FC" w:rsidRPr="004C57FC">
        <w:rPr>
          <w:rFonts w:ascii="Arial" w:hAnsi="Arial" w:cs="Arial"/>
          <w:sz w:val="24"/>
          <w:szCs w:val="24"/>
          <w:lang w:val="fr-BE"/>
        </w:rPr>
        <w:t xml:space="preserve">. Une intervention de la Croix-Rouge ou toute autre organisation est imminente car un grand nombre de personnes </w:t>
      </w:r>
      <w:r>
        <w:rPr>
          <w:rFonts w:ascii="Arial" w:hAnsi="Arial" w:cs="Arial"/>
          <w:sz w:val="24"/>
          <w:szCs w:val="24"/>
          <w:lang w:val="fr-BE"/>
        </w:rPr>
        <w:t>ont perdues leurs biens matériels</w:t>
      </w:r>
      <w:r w:rsidR="00066500">
        <w:rPr>
          <w:rFonts w:ascii="Arial" w:hAnsi="Arial" w:cs="Arial"/>
          <w:sz w:val="24"/>
          <w:szCs w:val="24"/>
          <w:lang w:val="fr-BE"/>
        </w:rPr>
        <w:t xml:space="preserve">, certaines de </w:t>
      </w:r>
      <w:r w:rsidR="004C57FC" w:rsidRPr="004C57FC">
        <w:rPr>
          <w:rFonts w:ascii="Arial" w:hAnsi="Arial" w:cs="Arial"/>
          <w:sz w:val="24"/>
          <w:szCs w:val="24"/>
          <w:lang w:val="fr-BE"/>
        </w:rPr>
        <w:t xml:space="preserve">leurs maisons ont été </w:t>
      </w:r>
      <w:r w:rsidR="00066500">
        <w:rPr>
          <w:rFonts w:ascii="Arial" w:hAnsi="Arial" w:cs="Arial"/>
          <w:sz w:val="24"/>
          <w:szCs w:val="24"/>
          <w:lang w:val="fr-BE"/>
        </w:rPr>
        <w:t xml:space="preserve">complétement </w:t>
      </w:r>
      <w:r w:rsidR="004C57FC" w:rsidRPr="004C57FC">
        <w:rPr>
          <w:rFonts w:ascii="Arial" w:hAnsi="Arial" w:cs="Arial"/>
          <w:sz w:val="24"/>
          <w:szCs w:val="24"/>
          <w:lang w:val="fr-BE"/>
        </w:rPr>
        <w:t>démolies par</w:t>
      </w:r>
      <w:r>
        <w:rPr>
          <w:rFonts w:ascii="Arial" w:hAnsi="Arial" w:cs="Arial"/>
          <w:sz w:val="24"/>
          <w:szCs w:val="24"/>
          <w:lang w:val="fr-BE"/>
        </w:rPr>
        <w:t xml:space="preserve"> ces glissements</w:t>
      </w:r>
      <w:r w:rsidR="00066500">
        <w:rPr>
          <w:rFonts w:ascii="Arial" w:hAnsi="Arial" w:cs="Arial"/>
          <w:sz w:val="24"/>
          <w:szCs w:val="24"/>
          <w:lang w:val="fr-BE"/>
        </w:rPr>
        <w:t xml:space="preserve"> et d’autres sont partiellement détruites, etc.</w:t>
      </w:r>
      <w:r w:rsidR="004C57FC" w:rsidRPr="004C57FC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01FFBDAA" w14:textId="1CBBA312" w:rsidR="004C57FC" w:rsidRPr="004C57FC" w:rsidRDefault="004C57FC" w:rsidP="004C57FC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4C57FC">
        <w:rPr>
          <w:rFonts w:ascii="Arial" w:hAnsi="Arial" w:cs="Arial"/>
          <w:sz w:val="24"/>
          <w:szCs w:val="24"/>
          <w:lang w:val="fr-BE"/>
        </w:rPr>
        <w:t xml:space="preserve">C’est dans ce contexte qu’il est organisé une formation des volontaires de cette province afin qu’ils soient mieux outillés à intervenir en cas d’aide par transfert monétaire.    </w:t>
      </w:r>
    </w:p>
    <w:p w14:paraId="4B1BD290" w14:textId="3B08F6AF" w:rsidR="004C57FC" w:rsidRPr="00B37D19" w:rsidRDefault="004C57FC" w:rsidP="004C57FC">
      <w:pPr>
        <w:rPr>
          <w:rFonts w:ascii="Arial" w:hAnsi="Arial" w:cs="Arial"/>
          <w:sz w:val="24"/>
          <w:szCs w:val="24"/>
        </w:rPr>
      </w:pPr>
      <w:r w:rsidRPr="00B37D19">
        <w:rPr>
          <w:rFonts w:ascii="Arial" w:hAnsi="Arial" w:cs="Arial"/>
          <w:b/>
          <w:sz w:val="28"/>
          <w:szCs w:val="28"/>
        </w:rPr>
        <w:t>Objectif Global</w:t>
      </w:r>
      <w:r>
        <w:rPr>
          <w:rFonts w:ascii="Arial" w:hAnsi="Arial" w:cs="Arial"/>
          <w:sz w:val="28"/>
          <w:szCs w:val="28"/>
        </w:rPr>
        <w:t xml:space="preserve"> : </w:t>
      </w:r>
      <w:r w:rsidRPr="00B37D19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 xml:space="preserve">Avoir une équipe de </w:t>
      </w:r>
      <w:r w:rsidRPr="00B37D19">
        <w:rPr>
          <w:rFonts w:ascii="Arial" w:hAnsi="Arial" w:cs="Arial"/>
          <w:sz w:val="24"/>
          <w:szCs w:val="24"/>
        </w:rPr>
        <w:t>volontaires</w:t>
      </w:r>
      <w:r>
        <w:rPr>
          <w:rFonts w:ascii="Arial" w:hAnsi="Arial" w:cs="Arial"/>
          <w:sz w:val="24"/>
          <w:szCs w:val="24"/>
        </w:rPr>
        <w:t xml:space="preserve"> formée</w:t>
      </w:r>
      <w:r w:rsidRPr="00B37D19">
        <w:rPr>
          <w:rFonts w:ascii="Arial" w:hAnsi="Arial" w:cs="Arial"/>
          <w:sz w:val="24"/>
          <w:szCs w:val="24"/>
        </w:rPr>
        <w:t xml:space="preserve"> sur la modalité des TM ». </w:t>
      </w:r>
    </w:p>
    <w:p w14:paraId="0569B3D0" w14:textId="77777777" w:rsidR="004C57FC" w:rsidRDefault="004C57FC" w:rsidP="004C57FC">
      <w:pPr>
        <w:rPr>
          <w:rFonts w:ascii="Arial" w:hAnsi="Arial" w:cs="Arial"/>
          <w:b/>
          <w:sz w:val="28"/>
          <w:szCs w:val="28"/>
        </w:rPr>
      </w:pPr>
      <w:r w:rsidRPr="00B37D19">
        <w:rPr>
          <w:rFonts w:ascii="Arial" w:hAnsi="Arial" w:cs="Arial"/>
          <w:b/>
          <w:sz w:val="28"/>
          <w:szCs w:val="28"/>
        </w:rPr>
        <w:t xml:space="preserve">Objectifs spécifiques </w:t>
      </w:r>
    </w:p>
    <w:p w14:paraId="4323E058" w14:textId="0E934F22" w:rsidR="004C57FC" w:rsidRDefault="004C57FC" w:rsidP="004C57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2784">
        <w:rPr>
          <w:rFonts w:ascii="Arial" w:hAnsi="Arial" w:cs="Arial"/>
          <w:sz w:val="24"/>
          <w:szCs w:val="24"/>
        </w:rPr>
        <w:t>A l’issue de la formation, les participants sauront les avantages et les risques des TM</w:t>
      </w:r>
    </w:p>
    <w:p w14:paraId="444F82F3" w14:textId="3F5F5291" w:rsidR="00066500" w:rsidRPr="007C2784" w:rsidRDefault="00066500" w:rsidP="004C57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participants auront des connaissances </w:t>
      </w:r>
      <w:r>
        <w:rPr>
          <w:rFonts w:ascii="Arial" w:hAnsi="Arial" w:cs="Arial"/>
          <w:sz w:val="24"/>
          <w:szCs w:val="24"/>
        </w:rPr>
        <w:t>requises</w:t>
      </w:r>
      <w:r>
        <w:rPr>
          <w:rFonts w:ascii="Arial" w:hAnsi="Arial" w:cs="Arial"/>
          <w:sz w:val="24"/>
          <w:szCs w:val="24"/>
        </w:rPr>
        <w:t xml:space="preserve"> sur les outils de collecte des données tel que KoboCollect </w:t>
      </w:r>
    </w:p>
    <w:p w14:paraId="52626922" w14:textId="77777777" w:rsidR="004C57FC" w:rsidRDefault="004C57FC" w:rsidP="004C57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2784">
        <w:rPr>
          <w:rFonts w:ascii="Arial" w:hAnsi="Arial" w:cs="Arial"/>
          <w:sz w:val="24"/>
          <w:szCs w:val="24"/>
        </w:rPr>
        <w:t xml:space="preserve">Les participants pourront différencier les différents mécanismes de TM et savoir quand les utiliser </w:t>
      </w:r>
    </w:p>
    <w:p w14:paraId="24681D09" w14:textId="77777777" w:rsidR="004C57FC" w:rsidRPr="002D6F7E" w:rsidRDefault="004C57FC" w:rsidP="004C57F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6F7E">
        <w:rPr>
          <w:rFonts w:ascii="Arial" w:hAnsi="Arial" w:cs="Arial"/>
          <w:sz w:val="24"/>
          <w:szCs w:val="24"/>
        </w:rPr>
        <w:t xml:space="preserve">La branche dispose d’une équipe de volontaires formés prête à intervenir avec la modalité de TM </w:t>
      </w:r>
    </w:p>
    <w:p w14:paraId="20B132D2" w14:textId="77777777" w:rsidR="004C57FC" w:rsidRPr="002D6F7E" w:rsidRDefault="004C57FC" w:rsidP="004C57FC">
      <w:pPr>
        <w:rPr>
          <w:rFonts w:ascii="Arial" w:hAnsi="Arial" w:cs="Arial"/>
          <w:b/>
          <w:sz w:val="28"/>
          <w:szCs w:val="28"/>
        </w:rPr>
      </w:pPr>
      <w:r w:rsidRPr="002D6F7E">
        <w:rPr>
          <w:rFonts w:ascii="Arial" w:hAnsi="Arial" w:cs="Arial"/>
          <w:b/>
          <w:sz w:val="28"/>
          <w:szCs w:val="28"/>
        </w:rPr>
        <w:t xml:space="preserve">Méthodologie </w:t>
      </w:r>
    </w:p>
    <w:p w14:paraId="48F7675F" w14:textId="7106042B" w:rsidR="004C57FC" w:rsidRDefault="004C57FC" w:rsidP="004C57FC">
      <w:pPr>
        <w:jc w:val="both"/>
        <w:rPr>
          <w:rFonts w:ascii="Arial" w:hAnsi="Arial" w:cs="Arial"/>
          <w:sz w:val="24"/>
          <w:szCs w:val="24"/>
        </w:rPr>
      </w:pPr>
      <w:r w:rsidRPr="002D6F7E">
        <w:rPr>
          <w:rFonts w:ascii="Arial" w:hAnsi="Arial" w:cs="Arial"/>
          <w:sz w:val="24"/>
          <w:szCs w:val="24"/>
        </w:rPr>
        <w:t xml:space="preserve">Une présentation sera faite par le Responsable des </w:t>
      </w:r>
      <w:r w:rsidRPr="00066500">
        <w:rPr>
          <w:rFonts w:ascii="Arial" w:hAnsi="Arial" w:cs="Arial"/>
          <w:b/>
          <w:bCs/>
          <w:sz w:val="24"/>
          <w:szCs w:val="24"/>
        </w:rPr>
        <w:t>TM</w:t>
      </w:r>
      <w:r w:rsidR="00066500" w:rsidRPr="00066500">
        <w:rPr>
          <w:rFonts w:ascii="Arial" w:hAnsi="Arial" w:cs="Arial"/>
          <w:b/>
          <w:bCs/>
          <w:sz w:val="24"/>
          <w:szCs w:val="24"/>
        </w:rPr>
        <w:t xml:space="preserve"> a.i</w:t>
      </w:r>
      <w:r w:rsidRPr="002D6F7E">
        <w:rPr>
          <w:rFonts w:ascii="Arial" w:hAnsi="Arial" w:cs="Arial"/>
          <w:sz w:val="24"/>
          <w:szCs w:val="24"/>
        </w:rPr>
        <w:t xml:space="preserve"> sur les</w:t>
      </w:r>
      <w:r w:rsidR="00066500">
        <w:rPr>
          <w:rFonts w:ascii="Arial" w:hAnsi="Arial" w:cs="Arial"/>
          <w:sz w:val="24"/>
          <w:szCs w:val="24"/>
        </w:rPr>
        <w:t xml:space="preserve"> acronymes de TM et différents concepts couramment utilisés, </w:t>
      </w:r>
      <w:r w:rsidR="00066500" w:rsidRPr="002D6F7E">
        <w:rPr>
          <w:rFonts w:ascii="Arial" w:hAnsi="Arial" w:cs="Arial"/>
          <w:sz w:val="24"/>
          <w:szCs w:val="24"/>
        </w:rPr>
        <w:t>différents</w:t>
      </w:r>
      <w:r w:rsidRPr="002D6F7E">
        <w:rPr>
          <w:rFonts w:ascii="Arial" w:hAnsi="Arial" w:cs="Arial"/>
          <w:sz w:val="24"/>
          <w:szCs w:val="24"/>
        </w:rPr>
        <w:t xml:space="preserve"> types et les mécanismes de Transfert monétaire utilisés. Des études de cas tirés du Calp seront traités afin de mieux assimiler la leçon. A partir des expériences et des connaissances de terrain, les volontaires seront amenés à faire un parallélisme entre l’aide en nature et l’aide </w:t>
      </w:r>
      <w:r w:rsidRPr="002D6F7E">
        <w:rPr>
          <w:rFonts w:ascii="Arial" w:hAnsi="Arial" w:cs="Arial"/>
          <w:sz w:val="24"/>
          <w:szCs w:val="24"/>
        </w:rPr>
        <w:lastRenderedPageBreak/>
        <w:t xml:space="preserve">monétaire afin de déceler les avantages et les risques liés à cette modalité. </w:t>
      </w:r>
      <w:r>
        <w:rPr>
          <w:rFonts w:ascii="Arial" w:hAnsi="Arial" w:cs="Arial"/>
          <w:sz w:val="24"/>
          <w:szCs w:val="24"/>
        </w:rPr>
        <w:t xml:space="preserve">L’étude des risques devra aboutir aux propositions de solution pour les résoudre ou les mitiger. </w:t>
      </w:r>
    </w:p>
    <w:p w14:paraId="5645937B" w14:textId="77777777" w:rsidR="004C57FC" w:rsidRDefault="004C57FC" w:rsidP="004C57FC">
      <w:pPr>
        <w:jc w:val="both"/>
        <w:rPr>
          <w:rFonts w:ascii="Arial" w:hAnsi="Arial" w:cs="Arial"/>
          <w:sz w:val="24"/>
          <w:szCs w:val="24"/>
        </w:rPr>
      </w:pPr>
      <w:r w:rsidRPr="002D6F7E">
        <w:rPr>
          <w:rFonts w:ascii="Arial" w:hAnsi="Arial" w:cs="Arial"/>
          <w:sz w:val="24"/>
          <w:szCs w:val="24"/>
        </w:rPr>
        <w:t xml:space="preserve">Cette formation se veut participative.  </w:t>
      </w:r>
    </w:p>
    <w:p w14:paraId="659CA814" w14:textId="77777777" w:rsidR="004C57FC" w:rsidRDefault="004C57FC" w:rsidP="004C57FC">
      <w:pPr>
        <w:rPr>
          <w:rFonts w:ascii="Arial" w:hAnsi="Arial" w:cs="Arial"/>
          <w:b/>
          <w:sz w:val="28"/>
          <w:szCs w:val="28"/>
        </w:rPr>
      </w:pPr>
      <w:r w:rsidRPr="002D6F7E">
        <w:rPr>
          <w:rFonts w:ascii="Arial" w:hAnsi="Arial" w:cs="Arial"/>
          <w:b/>
          <w:sz w:val="28"/>
          <w:szCs w:val="28"/>
        </w:rPr>
        <w:t>Profil des animateurs</w:t>
      </w:r>
    </w:p>
    <w:p w14:paraId="45E8E36D" w14:textId="61ABFA81" w:rsidR="004C57FC" w:rsidRPr="00BB1466" w:rsidRDefault="004C57FC" w:rsidP="004C57FC">
      <w:pPr>
        <w:jc w:val="both"/>
        <w:rPr>
          <w:rFonts w:ascii="Arial" w:hAnsi="Arial" w:cs="Arial"/>
          <w:sz w:val="24"/>
          <w:szCs w:val="24"/>
        </w:rPr>
      </w:pPr>
      <w:r w:rsidRPr="002D6F7E">
        <w:rPr>
          <w:rFonts w:ascii="Arial" w:hAnsi="Arial" w:cs="Arial"/>
          <w:sz w:val="24"/>
          <w:szCs w:val="24"/>
        </w:rPr>
        <w:t xml:space="preserve">La formation sera dispensée par </w:t>
      </w:r>
      <w:r w:rsidR="00C53F2D">
        <w:rPr>
          <w:rFonts w:ascii="Arial" w:hAnsi="Arial" w:cs="Arial"/>
          <w:sz w:val="24"/>
          <w:szCs w:val="24"/>
        </w:rPr>
        <w:t xml:space="preserve">Léopold GIRUKWAYO, </w:t>
      </w:r>
      <w:r w:rsidRPr="002D6F7E">
        <w:rPr>
          <w:rFonts w:ascii="Arial" w:hAnsi="Arial" w:cs="Arial"/>
          <w:sz w:val="24"/>
          <w:szCs w:val="24"/>
        </w:rPr>
        <w:t>Responsable TM</w:t>
      </w:r>
      <w:r w:rsidR="00066500">
        <w:rPr>
          <w:rFonts w:ascii="Arial" w:hAnsi="Arial" w:cs="Arial"/>
          <w:sz w:val="24"/>
          <w:szCs w:val="24"/>
        </w:rPr>
        <w:t xml:space="preserve"> a.i</w:t>
      </w:r>
      <w:r w:rsidRPr="002D6F7E">
        <w:rPr>
          <w:rFonts w:ascii="Arial" w:hAnsi="Arial" w:cs="Arial"/>
          <w:sz w:val="24"/>
          <w:szCs w:val="24"/>
        </w:rPr>
        <w:t xml:space="preserve"> </w:t>
      </w:r>
      <w:r w:rsidR="00066500">
        <w:rPr>
          <w:rFonts w:ascii="Arial" w:hAnsi="Arial" w:cs="Arial"/>
          <w:sz w:val="24"/>
          <w:szCs w:val="24"/>
        </w:rPr>
        <w:t xml:space="preserve">et Chef de Département Digitalisation </w:t>
      </w:r>
      <w:r w:rsidRPr="002D6F7E">
        <w:rPr>
          <w:rFonts w:ascii="Arial" w:hAnsi="Arial" w:cs="Arial"/>
          <w:sz w:val="24"/>
          <w:szCs w:val="24"/>
        </w:rPr>
        <w:t xml:space="preserve">à la CRB, appuyée par </w:t>
      </w:r>
      <w:r w:rsidR="00C4431B">
        <w:rPr>
          <w:rFonts w:ascii="Arial" w:hAnsi="Arial" w:cs="Arial"/>
          <w:sz w:val="24"/>
          <w:szCs w:val="24"/>
        </w:rPr>
        <w:t>KAGONGO Etienne</w:t>
      </w:r>
      <w:r w:rsidRPr="002D6F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membre du groupe de travail</w:t>
      </w:r>
      <w:r w:rsidR="00A70275">
        <w:rPr>
          <w:rFonts w:ascii="Arial" w:hAnsi="Arial" w:cs="Arial"/>
          <w:sz w:val="24"/>
          <w:szCs w:val="24"/>
        </w:rPr>
        <w:t xml:space="preserve"> et Assistant en Planification, Suivi-Evaluation et Rapportage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3099CD" w14:textId="2A1E8F98" w:rsidR="004C57FC" w:rsidRDefault="004C57FC" w:rsidP="004C57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 des participants et durée de la formation</w:t>
      </w:r>
    </w:p>
    <w:p w14:paraId="2087469B" w14:textId="1BE006D6" w:rsidR="004C57FC" w:rsidRDefault="004C57FC" w:rsidP="004C57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formation se déroulera à </w:t>
      </w:r>
      <w:r w:rsidR="00387EEC">
        <w:rPr>
          <w:rFonts w:ascii="Arial" w:hAnsi="Arial" w:cs="Arial"/>
          <w:bCs/>
          <w:sz w:val="24"/>
          <w:szCs w:val="24"/>
        </w:rPr>
        <w:t>Cibitoke</w:t>
      </w:r>
      <w:r>
        <w:rPr>
          <w:rFonts w:ascii="Arial" w:hAnsi="Arial" w:cs="Arial"/>
          <w:bCs/>
          <w:sz w:val="24"/>
          <w:szCs w:val="24"/>
        </w:rPr>
        <w:t xml:space="preserve"> et y participeront 20 volontaires dont tous les secrétaires des communes. </w:t>
      </w:r>
    </w:p>
    <w:p w14:paraId="2B517058" w14:textId="3B9073E5" w:rsidR="002A7FEB" w:rsidRDefault="002A7FEB" w:rsidP="004C57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N.B : Le port du masque est obligatoire.</w:t>
      </w:r>
    </w:p>
    <w:p w14:paraId="6C600741" w14:textId="24723D4D" w:rsidR="004C57FC" w:rsidRDefault="004C57FC" w:rsidP="004C57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r w:rsidRPr="00A1401C">
        <w:rPr>
          <w:rFonts w:ascii="Arial" w:hAnsi="Arial" w:cs="Arial"/>
          <w:bCs/>
          <w:sz w:val="24"/>
          <w:szCs w:val="24"/>
        </w:rPr>
        <w:t>session de formation s</w:t>
      </w:r>
      <w:r>
        <w:rPr>
          <w:rFonts w:ascii="Arial" w:hAnsi="Arial" w:cs="Arial"/>
          <w:bCs/>
          <w:sz w:val="24"/>
          <w:szCs w:val="24"/>
        </w:rPr>
        <w:t>’étendra</w:t>
      </w:r>
      <w:r w:rsidRPr="00A1401C">
        <w:rPr>
          <w:rFonts w:ascii="Arial" w:hAnsi="Arial" w:cs="Arial"/>
          <w:bCs/>
          <w:sz w:val="24"/>
          <w:szCs w:val="24"/>
        </w:rPr>
        <w:t xml:space="preserve"> sur 3 jours.</w:t>
      </w:r>
      <w:r>
        <w:rPr>
          <w:rFonts w:ascii="Arial" w:hAnsi="Arial" w:cs="Arial"/>
          <w:bCs/>
          <w:sz w:val="24"/>
          <w:szCs w:val="24"/>
        </w:rPr>
        <w:t xml:space="preserve"> Toutefois, comme la</w:t>
      </w:r>
      <w:r w:rsidR="00D66E13">
        <w:rPr>
          <w:rFonts w:ascii="Arial" w:hAnsi="Arial" w:cs="Arial"/>
          <w:bCs/>
          <w:sz w:val="24"/>
          <w:szCs w:val="24"/>
        </w:rPr>
        <w:t xml:space="preserve"> matière est vaste avec des exercices de simulation, </w:t>
      </w:r>
      <w:r>
        <w:rPr>
          <w:rFonts w:ascii="Arial" w:hAnsi="Arial" w:cs="Arial"/>
          <w:bCs/>
          <w:sz w:val="24"/>
          <w:szCs w:val="24"/>
        </w:rPr>
        <w:t>on devra</w:t>
      </w:r>
      <w:r w:rsidR="009D7617">
        <w:rPr>
          <w:rFonts w:ascii="Arial" w:hAnsi="Arial" w:cs="Arial"/>
          <w:bCs/>
          <w:sz w:val="24"/>
          <w:szCs w:val="24"/>
        </w:rPr>
        <w:t xml:space="preserve"> loger à Cibitoke la veille de la formation pour préparer les matériels de formation</w:t>
      </w:r>
      <w:r>
        <w:rPr>
          <w:rFonts w:ascii="Arial" w:hAnsi="Arial" w:cs="Arial"/>
          <w:bCs/>
          <w:sz w:val="24"/>
          <w:szCs w:val="24"/>
        </w:rPr>
        <w:t xml:space="preserve">. C’est pour cela que le départ est prévu la veille de la formation. </w:t>
      </w:r>
    </w:p>
    <w:p w14:paraId="0D5B6B18" w14:textId="74C94F9A" w:rsidR="004C57FC" w:rsidRDefault="004C57FC" w:rsidP="004C57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Départ : </w:t>
      </w:r>
      <w:r w:rsidR="009D7617">
        <w:rPr>
          <w:rFonts w:ascii="Arial" w:hAnsi="Arial" w:cs="Arial"/>
          <w:bCs/>
          <w:sz w:val="24"/>
          <w:szCs w:val="24"/>
        </w:rPr>
        <w:t>lundi le 21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D7617">
        <w:rPr>
          <w:rFonts w:ascii="Arial" w:hAnsi="Arial" w:cs="Arial"/>
          <w:bCs/>
          <w:sz w:val="24"/>
          <w:szCs w:val="24"/>
        </w:rPr>
        <w:t>Février</w:t>
      </w:r>
      <w:r>
        <w:rPr>
          <w:rFonts w:ascii="Arial" w:hAnsi="Arial" w:cs="Arial"/>
          <w:bCs/>
          <w:sz w:val="24"/>
          <w:szCs w:val="24"/>
        </w:rPr>
        <w:t xml:space="preserve"> 202</w:t>
      </w:r>
      <w:r w:rsidR="009D7617">
        <w:rPr>
          <w:rFonts w:ascii="Arial" w:hAnsi="Arial" w:cs="Arial"/>
          <w:bCs/>
          <w:sz w:val="24"/>
          <w:szCs w:val="24"/>
        </w:rPr>
        <w:t>2</w:t>
      </w:r>
    </w:p>
    <w:p w14:paraId="68E7D4A1" w14:textId="557331EA" w:rsidR="004C57FC" w:rsidRDefault="004C57FC" w:rsidP="004C57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Formation : du </w:t>
      </w:r>
      <w:r w:rsidR="009D7617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 au </w:t>
      </w:r>
      <w:r w:rsidR="009D7617">
        <w:rPr>
          <w:rFonts w:ascii="Arial" w:hAnsi="Arial" w:cs="Arial"/>
          <w:bCs/>
          <w:sz w:val="24"/>
          <w:szCs w:val="24"/>
        </w:rPr>
        <w:t xml:space="preserve">24 Février </w:t>
      </w:r>
      <w:r>
        <w:rPr>
          <w:rFonts w:ascii="Arial" w:hAnsi="Arial" w:cs="Arial"/>
          <w:bCs/>
          <w:sz w:val="24"/>
          <w:szCs w:val="24"/>
        </w:rPr>
        <w:t>202</w:t>
      </w:r>
      <w:r w:rsidR="009D7617">
        <w:rPr>
          <w:rFonts w:ascii="Arial" w:hAnsi="Arial" w:cs="Arial"/>
          <w:bCs/>
          <w:sz w:val="24"/>
          <w:szCs w:val="24"/>
        </w:rPr>
        <w:t>2</w:t>
      </w:r>
    </w:p>
    <w:p w14:paraId="404E5C7F" w14:textId="0B341968" w:rsidR="004C57FC" w:rsidRDefault="004C57FC" w:rsidP="004C57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Retour : </w:t>
      </w:r>
      <w:r w:rsidR="009D7617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D7617">
        <w:rPr>
          <w:rFonts w:ascii="Arial" w:hAnsi="Arial" w:cs="Arial"/>
          <w:bCs/>
          <w:sz w:val="24"/>
          <w:szCs w:val="24"/>
        </w:rPr>
        <w:t>Février</w:t>
      </w:r>
      <w:r>
        <w:rPr>
          <w:rFonts w:ascii="Arial" w:hAnsi="Arial" w:cs="Arial"/>
          <w:bCs/>
          <w:sz w:val="24"/>
          <w:szCs w:val="24"/>
        </w:rPr>
        <w:t xml:space="preserve"> 202</w:t>
      </w:r>
      <w:r w:rsidR="009D7617">
        <w:rPr>
          <w:rFonts w:ascii="Arial" w:hAnsi="Arial" w:cs="Arial"/>
          <w:bCs/>
          <w:sz w:val="24"/>
          <w:szCs w:val="24"/>
        </w:rPr>
        <w:t>2</w:t>
      </w:r>
    </w:p>
    <w:p w14:paraId="68BF5843" w14:textId="0FA9E5FF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03E93172" w14:textId="241A92AB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2A798310" w14:textId="12A5C798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7CE6D055" w14:textId="3DD33CF9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6BD6EC1A" w14:textId="2F2CA4DF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5EBDC990" w14:textId="31EA8F40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0E866059" w14:textId="542ADE7E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0BA66F67" w14:textId="0B0C7DEA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79473606" w14:textId="3BF070FA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122AF6C6" w14:textId="1549B624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47DD3CFF" w14:textId="0D79EC24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1964CAF7" w14:textId="4ACB2DD0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6FA9545C" w14:textId="4E16386B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457F4965" w14:textId="3F2F9071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1EC51658" w14:textId="09F6F8E7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2F423129" w14:textId="77777777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  <w:sectPr w:rsidR="00C53F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B75B9B" w14:textId="77777777" w:rsidR="00C53F2D" w:rsidRDefault="00C53F2D" w:rsidP="004C57FC">
      <w:pPr>
        <w:jc w:val="both"/>
        <w:rPr>
          <w:rFonts w:ascii="Arial" w:hAnsi="Arial" w:cs="Arial"/>
          <w:bCs/>
          <w:sz w:val="24"/>
          <w:szCs w:val="24"/>
        </w:rPr>
      </w:pPr>
    </w:p>
    <w:p w14:paraId="0347A2B7" w14:textId="5E679801" w:rsidR="004C57FC" w:rsidRDefault="004C57FC" w:rsidP="004C57FC">
      <w:pPr>
        <w:rPr>
          <w:rFonts w:ascii="Arial" w:hAnsi="Arial" w:cs="Arial"/>
          <w:sz w:val="28"/>
          <w:szCs w:val="28"/>
        </w:rPr>
      </w:pPr>
      <w:r w:rsidRPr="00BB1466">
        <w:rPr>
          <w:rFonts w:ascii="Arial" w:hAnsi="Arial" w:cs="Arial"/>
          <w:b/>
          <w:bCs/>
          <w:sz w:val="28"/>
          <w:szCs w:val="28"/>
        </w:rPr>
        <w:t>Budget</w:t>
      </w:r>
      <w:r w:rsidRPr="00BB1466">
        <w:rPr>
          <w:rFonts w:ascii="Arial" w:hAnsi="Arial" w:cs="Arial"/>
          <w:sz w:val="28"/>
          <w:szCs w:val="28"/>
        </w:rPr>
        <w:t xml:space="preserve"> </w:t>
      </w:r>
    </w:p>
    <w:tbl>
      <w:tblPr>
        <w:tblW w:w="14296" w:type="dxa"/>
        <w:tblInd w:w="-294" w:type="dxa"/>
        <w:tblLook w:val="04A0" w:firstRow="1" w:lastRow="0" w:firstColumn="1" w:lastColumn="0" w:noHBand="0" w:noVBand="1"/>
      </w:tblPr>
      <w:tblGrid>
        <w:gridCol w:w="7176"/>
        <w:gridCol w:w="1200"/>
        <w:gridCol w:w="1200"/>
        <w:gridCol w:w="2200"/>
        <w:gridCol w:w="2520"/>
      </w:tblGrid>
      <w:tr w:rsidR="00C53F2D" w:rsidRPr="00C53F2D" w14:paraId="34D6FD68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360F6AFF" w14:textId="33E17AD3" w:rsidR="00C53F2D" w:rsidRPr="00C53F2D" w:rsidRDefault="008E3342" w:rsidP="00C5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b/>
                <w:bCs/>
                <w:color w:val="FFFFFF"/>
                <w:lang w:eastAsia="fr-BI"/>
              </w:rPr>
              <w:t>Description</w:t>
            </w:r>
            <w:r w:rsidR="00C53F2D" w:rsidRPr="00C53F2D">
              <w:rPr>
                <w:rFonts w:ascii="Calibri" w:eastAsia="Times New Roman" w:hAnsi="Calibri" w:cs="Calibri"/>
                <w:b/>
                <w:bCs/>
                <w:color w:val="FFFFFF"/>
                <w:lang w:eastAsia="fr-BI"/>
              </w:rPr>
              <w:t xml:space="preserve"> / libellé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08887781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b/>
                <w:bCs/>
                <w:color w:val="FFFFFF"/>
                <w:lang w:eastAsia="fr-BI"/>
              </w:rPr>
              <w:t># Unité 1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765D528C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b/>
                <w:bCs/>
                <w:color w:val="FFFFFF"/>
                <w:lang w:eastAsia="fr-BI"/>
              </w:rPr>
              <w:t># Unité 2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7534B805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b/>
                <w:bCs/>
                <w:color w:val="FFFFFF"/>
                <w:lang w:eastAsia="fr-BI"/>
              </w:rPr>
              <w:t>Prix Unitaire BIF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000000" w:fill="ED7D31"/>
            <w:noWrap/>
            <w:vAlign w:val="center"/>
            <w:hideMark/>
          </w:tcPr>
          <w:p w14:paraId="02849F11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b/>
                <w:bCs/>
                <w:color w:val="FFFFFF"/>
                <w:lang w:eastAsia="fr-BI"/>
              </w:rPr>
              <w:t>Total BIF</w:t>
            </w:r>
          </w:p>
        </w:tc>
      </w:tr>
      <w:tr w:rsidR="00C53F2D" w:rsidRPr="00C53F2D" w14:paraId="46F2B606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5B65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 xml:space="preserve">Frais de mission Formateurs 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0FA7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2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4AF6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4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C2A5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50 000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0B6BF069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400 000</w:t>
            </w:r>
          </w:p>
        </w:tc>
      </w:tr>
      <w:tr w:rsidR="00C53F2D" w:rsidRPr="00C53F2D" w14:paraId="1E0D3CF5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E1C3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 xml:space="preserve">Frais de mission Chauffeur 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F106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3E56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4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23D7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50 000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5B4A43B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200 000</w:t>
            </w:r>
          </w:p>
        </w:tc>
      </w:tr>
      <w:tr w:rsidR="00C53F2D" w:rsidRPr="00C53F2D" w14:paraId="3FA56562" w14:textId="77777777" w:rsidTr="00C53F2D">
        <w:trPr>
          <w:trHeight w:val="60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4E74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 xml:space="preserve">Frais de déplacement des volontaires de Bukinanyana, Murwi et Mabayi (aller-retour) 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B4F8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9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7F9C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64B3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20 000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42512FD9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180 000</w:t>
            </w:r>
          </w:p>
        </w:tc>
      </w:tr>
      <w:tr w:rsidR="00C53F2D" w:rsidRPr="00C53F2D" w14:paraId="146AA896" w14:textId="77777777" w:rsidTr="00C53F2D">
        <w:trPr>
          <w:trHeight w:val="293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3A5E" w14:textId="5297B936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Hébergement des</w:t>
            </w: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 xml:space="preserve"> </w:t>
            </w: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volontaires des</w:t>
            </w: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 xml:space="preserve"> trois communes pour 3 jours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F2D9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9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72B4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3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579C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30 000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5665A4A8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810 000</w:t>
            </w:r>
          </w:p>
        </w:tc>
      </w:tr>
      <w:tr w:rsidR="00C53F2D" w:rsidRPr="00C53F2D" w14:paraId="6DC77407" w14:textId="77777777" w:rsidTr="00C53F2D">
        <w:trPr>
          <w:trHeight w:val="680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3704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 xml:space="preserve">Frais de déplacement des volontaires (aller-retour) des communes proches du centre de formation 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7AF4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11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CF0F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3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6C49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10 000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174ED7C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330 000</w:t>
            </w:r>
          </w:p>
        </w:tc>
      </w:tr>
      <w:tr w:rsidR="00C53F2D" w:rsidRPr="00C53F2D" w14:paraId="1F85E7F7" w14:textId="77777777" w:rsidTr="00C53F2D">
        <w:trPr>
          <w:trHeight w:val="60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2369" w14:textId="2A61346C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Hébergement de</w:t>
            </w: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 xml:space="preserve"> 11 volontaires 3 jours 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3828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11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152D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3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0D21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30 000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179A8FA8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990 000</w:t>
            </w:r>
          </w:p>
        </w:tc>
      </w:tr>
      <w:tr w:rsidR="00C53F2D" w:rsidRPr="00C53F2D" w14:paraId="3E079A41" w14:textId="77777777" w:rsidTr="00C53F2D">
        <w:trPr>
          <w:trHeight w:val="60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0B097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Location Salle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8418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74A4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3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B54F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100 000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98A69BF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300 000</w:t>
            </w:r>
          </w:p>
        </w:tc>
      </w:tr>
      <w:tr w:rsidR="00C53F2D" w:rsidRPr="00C53F2D" w14:paraId="5BFC9377" w14:textId="77777777" w:rsidTr="00C53F2D">
        <w:trPr>
          <w:trHeight w:val="7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8F99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Petit Déjeuner pour les participants formation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AE36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22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07FC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3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3B7E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6 000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ADC2ECF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396 000</w:t>
            </w:r>
          </w:p>
        </w:tc>
      </w:tr>
      <w:tr w:rsidR="00C53F2D" w:rsidRPr="00C53F2D" w14:paraId="2E13FE72" w14:textId="77777777" w:rsidTr="00C53F2D">
        <w:trPr>
          <w:trHeight w:val="60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1506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Déjeuner participants à la formation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4405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22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608B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3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571C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15 000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6A0DCA3A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990 000</w:t>
            </w:r>
          </w:p>
        </w:tc>
      </w:tr>
      <w:tr w:rsidR="00C53F2D" w:rsidRPr="00C53F2D" w14:paraId="1E472A9C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51A0E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Eau*2bout formation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5F3B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44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339A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3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5444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04A08CD3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132 000</w:t>
            </w:r>
          </w:p>
        </w:tc>
      </w:tr>
      <w:tr w:rsidR="00C53F2D" w:rsidRPr="00C53F2D" w14:paraId="0EE05BF9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5FBD" w14:textId="6FDC37B1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Bloc-notes</w:t>
            </w: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B0EB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20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30B6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B45F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1 500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1BCC7CE7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30 000</w:t>
            </w:r>
          </w:p>
        </w:tc>
      </w:tr>
      <w:tr w:rsidR="00C53F2D" w:rsidRPr="00C53F2D" w14:paraId="4A8CF42D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1FD2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Stylo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9641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20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02B8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3524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500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7B7A04A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10 000</w:t>
            </w:r>
          </w:p>
        </w:tc>
      </w:tr>
      <w:tr w:rsidR="00C53F2D" w:rsidRPr="00C53F2D" w14:paraId="6DB1695A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2C28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Flip shart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AAC8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B9F7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DD39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15 000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10CB98CB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15 000</w:t>
            </w:r>
          </w:p>
        </w:tc>
      </w:tr>
      <w:tr w:rsidR="00C53F2D" w:rsidRPr="00C53F2D" w14:paraId="0F3D8232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39815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Feutre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372B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48C9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0A88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15 000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5900D022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15 000</w:t>
            </w:r>
          </w:p>
        </w:tc>
      </w:tr>
      <w:tr w:rsidR="00C53F2D" w:rsidRPr="00C53F2D" w14:paraId="52118F08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379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 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F259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 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0E8F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 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4FB4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 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1337785F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b/>
                <w:bCs/>
                <w:color w:val="000000"/>
                <w:lang w:eastAsia="fr-BI"/>
              </w:rPr>
              <w:t>4 798 000</w:t>
            </w:r>
          </w:p>
        </w:tc>
      </w:tr>
      <w:tr w:rsidR="00C53F2D" w:rsidRPr="00C53F2D" w14:paraId="62166E78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FA6E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 xml:space="preserve">Carburant 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FD3E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FE9A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60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33EF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2 700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77F7376E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eastAsia="fr-BI"/>
              </w:rPr>
              <w:t>162 000</w:t>
            </w:r>
          </w:p>
        </w:tc>
      </w:tr>
      <w:tr w:rsidR="00C53F2D" w:rsidRPr="00C53F2D" w14:paraId="64A7FC56" w14:textId="77777777" w:rsidTr="00C53F2D">
        <w:trPr>
          <w:trHeight w:val="315"/>
        </w:trPr>
        <w:tc>
          <w:tcPr>
            <w:tcW w:w="71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1198E702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b/>
                <w:bCs/>
                <w:color w:val="000000"/>
                <w:lang w:eastAsia="fr-BI"/>
              </w:rPr>
              <w:t>Total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noWrap/>
            <w:vAlign w:val="bottom"/>
            <w:hideMark/>
          </w:tcPr>
          <w:p w14:paraId="31E30368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 </w:t>
            </w:r>
          </w:p>
        </w:tc>
        <w:tc>
          <w:tcPr>
            <w:tcW w:w="1200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noWrap/>
            <w:vAlign w:val="bottom"/>
            <w:hideMark/>
          </w:tcPr>
          <w:p w14:paraId="6D0671CA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 </w:t>
            </w:r>
          </w:p>
        </w:tc>
        <w:tc>
          <w:tcPr>
            <w:tcW w:w="2200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noWrap/>
            <w:vAlign w:val="bottom"/>
            <w:hideMark/>
          </w:tcPr>
          <w:p w14:paraId="2B483763" w14:textId="77777777" w:rsidR="00C53F2D" w:rsidRPr="00C53F2D" w:rsidRDefault="00C53F2D" w:rsidP="00C5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color w:val="000000"/>
                <w:lang w:val="fr-BI" w:eastAsia="fr-BI"/>
              </w:rPr>
              <w:t> </w:t>
            </w:r>
          </w:p>
        </w:tc>
        <w:tc>
          <w:tcPr>
            <w:tcW w:w="2520" w:type="dxa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0C81A51D" w14:textId="77777777" w:rsidR="00C53F2D" w:rsidRPr="00C53F2D" w:rsidRDefault="00C53F2D" w:rsidP="00C53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BI" w:eastAsia="fr-BI"/>
              </w:rPr>
            </w:pPr>
            <w:r w:rsidRPr="00C53F2D">
              <w:rPr>
                <w:rFonts w:ascii="Calibri" w:eastAsia="Times New Roman" w:hAnsi="Calibri" w:cs="Calibri"/>
                <w:b/>
                <w:bCs/>
                <w:color w:val="000000"/>
                <w:lang w:eastAsia="fr-BI"/>
              </w:rPr>
              <w:t>4 960 000</w:t>
            </w:r>
          </w:p>
        </w:tc>
      </w:tr>
    </w:tbl>
    <w:p w14:paraId="473F4C82" w14:textId="6266F183" w:rsidR="00C53F2D" w:rsidRDefault="00C53F2D" w:rsidP="004C57FC">
      <w:pPr>
        <w:rPr>
          <w:rFonts w:ascii="Arial" w:hAnsi="Arial" w:cs="Arial"/>
          <w:sz w:val="28"/>
          <w:szCs w:val="28"/>
        </w:rPr>
      </w:pPr>
    </w:p>
    <w:p w14:paraId="1964C24C" w14:textId="77777777" w:rsidR="00C53F2D" w:rsidRDefault="00C53F2D" w:rsidP="004C57FC">
      <w:pPr>
        <w:rPr>
          <w:rFonts w:ascii="Arial" w:hAnsi="Arial" w:cs="Arial"/>
          <w:sz w:val="28"/>
          <w:szCs w:val="28"/>
        </w:rPr>
        <w:sectPr w:rsidR="00C53F2D" w:rsidSect="00C53F2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B944E6B" w14:textId="65DEA76B" w:rsidR="004C57FC" w:rsidRDefault="003B3D56" w:rsidP="00C53F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Chronogramme</w:t>
      </w:r>
    </w:p>
    <w:sectPr w:rsidR="004C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5213"/>
    <w:multiLevelType w:val="hybridMultilevel"/>
    <w:tmpl w:val="14ECF1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FC"/>
    <w:rsid w:val="00066500"/>
    <w:rsid w:val="001827FC"/>
    <w:rsid w:val="002A7FEB"/>
    <w:rsid w:val="00387EEC"/>
    <w:rsid w:val="003B3D56"/>
    <w:rsid w:val="00403DFE"/>
    <w:rsid w:val="00474AB5"/>
    <w:rsid w:val="004A28EC"/>
    <w:rsid w:val="004C57FC"/>
    <w:rsid w:val="006A57F2"/>
    <w:rsid w:val="00731B55"/>
    <w:rsid w:val="00740303"/>
    <w:rsid w:val="00833F12"/>
    <w:rsid w:val="00885BA1"/>
    <w:rsid w:val="008E3342"/>
    <w:rsid w:val="0098249F"/>
    <w:rsid w:val="009D7617"/>
    <w:rsid w:val="00A661F2"/>
    <w:rsid w:val="00A70275"/>
    <w:rsid w:val="00C4431B"/>
    <w:rsid w:val="00C53F2D"/>
    <w:rsid w:val="00D66E13"/>
    <w:rsid w:val="00D95165"/>
    <w:rsid w:val="00E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872"/>
  <w15:chartTrackingRefBased/>
  <w15:docId w15:val="{50DD35F9-9C21-489C-8C95-0A80775E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57FC"/>
    <w:pPr>
      <w:ind w:left="720"/>
      <w:contextualSpacing/>
    </w:pPr>
  </w:style>
  <w:style w:type="paragraph" w:customStyle="1" w:styleId="Default">
    <w:name w:val="Default"/>
    <w:qFormat/>
    <w:rsid w:val="004C57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IRAMBONA</dc:creator>
  <cp:keywords/>
  <dc:description/>
  <cp:lastModifiedBy>Léopold GIRUKWAYO</cp:lastModifiedBy>
  <cp:revision>3</cp:revision>
  <cp:lastPrinted>2021-05-12T12:16:00Z</cp:lastPrinted>
  <dcterms:created xsi:type="dcterms:W3CDTF">2022-02-17T17:20:00Z</dcterms:created>
  <dcterms:modified xsi:type="dcterms:W3CDTF">2022-02-17T17:21:00Z</dcterms:modified>
</cp:coreProperties>
</file>